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43" w:rsidRPr="00ED5643" w:rsidRDefault="00ED5643" w:rsidP="00ED5643">
      <w:pPr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  <w:r w:rsidRPr="00ED5643">
        <w:rPr>
          <w:rFonts w:ascii="Arial" w:eastAsia="Times New Roman" w:hAnsi="Arial" w:cs="Arial"/>
          <w:b/>
          <w:lang w:eastAsia="pt-BR"/>
        </w:rPr>
        <w:t>D.O.E.: 19/03/2015</w:t>
      </w:r>
    </w:p>
    <w:p w:rsidR="00ED5643" w:rsidRDefault="00ED5643" w:rsidP="00ED5643">
      <w:pPr>
        <w:spacing w:line="36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pt-BR"/>
        </w:rPr>
      </w:pPr>
    </w:p>
    <w:p w:rsidR="00ED5643" w:rsidRPr="00ED5643" w:rsidRDefault="00ED5643" w:rsidP="00ED5643">
      <w:pPr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C00000"/>
          <w:kern w:val="36"/>
          <w:u w:val="single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C00000"/>
          <w:kern w:val="36"/>
          <w:u w:val="single"/>
          <w:lang w:eastAsia="pt-BR"/>
        </w:rPr>
        <w:t>RESOLUÇÃO Nº 7043, DE 17 DE MARÇO DE 2015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Dispõe sobre os Serviços Médicos e Odontológicos no âmbito da Universidade de São Paulo.</w:t>
      </w:r>
    </w:p>
    <w:p w:rsidR="00ED5643" w:rsidRP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 xml:space="preserve">O Reitor da Universidade de São Paulo, usando de suas atribuições legais, com fundamento </w:t>
      </w:r>
      <w:r w:rsidRPr="00ED5643">
        <w:rPr>
          <w:rFonts w:ascii="Arial" w:eastAsia="Times New Roman" w:hAnsi="Arial" w:cs="Arial"/>
          <w:lang w:eastAsia="pt-BR"/>
        </w:rPr>
        <w:t>no </w:t>
      </w:r>
      <w:hyperlink r:id="rId4" w:anchor="a42" w:history="1">
        <w:r w:rsidRPr="00ED5643">
          <w:rPr>
            <w:rFonts w:ascii="Arial" w:eastAsia="Times New Roman" w:hAnsi="Arial" w:cs="Arial"/>
            <w:bdr w:val="none" w:sz="0" w:space="0" w:color="auto" w:frame="1"/>
            <w:lang w:eastAsia="pt-BR"/>
          </w:rPr>
          <w:t>art. 42</w:t>
        </w:r>
      </w:hyperlink>
      <w:r w:rsidRPr="00ED5643">
        <w:rPr>
          <w:rFonts w:ascii="Arial" w:eastAsia="Times New Roman" w:hAnsi="Arial" w:cs="Arial"/>
          <w:lang w:eastAsia="pt-BR"/>
        </w:rPr>
        <w:t>, I, do Estatuto, considerando a necessidade de regulamentar a utilização dos Serviços Médicos e Odontológicos pela comunidade USP, tendo em vista a revogação da Resolução nº </w:t>
      </w:r>
      <w:hyperlink r:id="rId5" w:tooltip="RESOLUÇÃO Nº 6545, DE 23 ABRIL DE 2013" w:history="1">
        <w:r w:rsidRPr="00ED5643">
          <w:rPr>
            <w:rFonts w:ascii="Arial" w:eastAsia="Times New Roman" w:hAnsi="Arial" w:cs="Arial"/>
            <w:bdr w:val="none" w:sz="0" w:space="0" w:color="auto" w:frame="1"/>
            <w:lang w:eastAsia="pt-BR"/>
          </w:rPr>
          <w:t>6545/13</w:t>
        </w:r>
      </w:hyperlink>
      <w:r w:rsidRPr="00ED5643">
        <w:rPr>
          <w:rFonts w:ascii="Arial" w:eastAsia="Times New Roman" w:hAnsi="Arial" w:cs="Arial"/>
          <w:lang w:eastAsia="pt-BR"/>
        </w:rPr>
        <w:t> pela Resolução nº </w:t>
      </w:r>
      <w:hyperlink r:id="rId6" w:tooltip="RESOLUÇÃO Nº 6789, DE 15 DE ABRIL DE 2014" w:history="1">
        <w:r w:rsidRPr="00ED5643">
          <w:rPr>
            <w:rFonts w:ascii="Arial" w:eastAsia="Times New Roman" w:hAnsi="Arial" w:cs="Arial"/>
            <w:bdr w:val="none" w:sz="0" w:space="0" w:color="auto" w:frame="1"/>
            <w:lang w:eastAsia="pt-BR"/>
          </w:rPr>
          <w:t>6789/14</w:t>
        </w:r>
      </w:hyperlink>
      <w:r w:rsidRPr="00ED5643">
        <w:rPr>
          <w:rFonts w:ascii="Arial" w:eastAsia="Times New Roman" w:hAnsi="Arial" w:cs="Arial"/>
          <w:lang w:eastAsia="pt-BR"/>
        </w:rPr>
        <w:t xml:space="preserve"> e considerando o deliberado pela Comissão de Orçamento e Patrimônio, em sessão realizada em 24.02.2015, e pelo Presidente da Comissão de Legislação </w:t>
      </w:r>
      <w:r w:rsidRPr="00ED5643">
        <w:rPr>
          <w:rFonts w:ascii="Arial" w:eastAsia="Times New Roman" w:hAnsi="Arial" w:cs="Arial"/>
          <w:color w:val="373737"/>
          <w:lang w:eastAsia="pt-BR"/>
        </w:rPr>
        <w:t>e Recursos </w:t>
      </w:r>
      <w:r w:rsidRPr="00ED5643">
        <w:rPr>
          <w:rFonts w:ascii="Arial" w:eastAsia="Times New Roman" w:hAnsi="Arial" w:cs="Arial"/>
          <w:i/>
          <w:iCs/>
          <w:color w:val="373737"/>
          <w:bdr w:val="none" w:sz="0" w:space="0" w:color="auto" w:frame="1"/>
          <w:lang w:eastAsia="pt-BR"/>
        </w:rPr>
        <w:t>ad referendum</w:t>
      </w:r>
      <w:r w:rsidRPr="00ED5643">
        <w:rPr>
          <w:rFonts w:ascii="Arial" w:eastAsia="Times New Roman" w:hAnsi="Arial" w:cs="Arial"/>
          <w:color w:val="373737"/>
          <w:lang w:eastAsia="pt-BR"/>
        </w:rPr>
        <w:t> do colegiado, baixa a seguinte</w:t>
      </w:r>
    </w:p>
    <w:p w:rsidR="00ED5643" w:rsidRDefault="00ED5643" w:rsidP="00ED564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</w:pPr>
    </w:p>
    <w:p w:rsidR="00ED5643" w:rsidRPr="00ED5643" w:rsidRDefault="00ED5643" w:rsidP="00ED564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b/>
          <w:bCs/>
          <w:color w:val="C00000"/>
          <w:bdr w:val="none" w:sz="0" w:space="0" w:color="auto" w:frame="1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C00000"/>
          <w:bdr w:val="none" w:sz="0" w:space="0" w:color="auto" w:frame="1"/>
          <w:lang w:eastAsia="pt-BR"/>
        </w:rPr>
        <w:t>RESOLUÇÃO:</w:t>
      </w:r>
    </w:p>
    <w:p w:rsidR="00ED5643" w:rsidRPr="00ED5643" w:rsidRDefault="00ED5643" w:rsidP="00ED5643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73737"/>
          <w:lang w:eastAsia="pt-BR"/>
        </w:rPr>
      </w:pPr>
    </w:p>
    <w:p w:rsidR="00ED5643" w:rsidRP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  <w:t>Artigo 1º</w:t>
      </w:r>
      <w:r w:rsidRPr="00ED5643">
        <w:rPr>
          <w:rFonts w:ascii="Arial" w:eastAsia="Times New Roman" w:hAnsi="Arial" w:cs="Arial"/>
          <w:color w:val="373737"/>
          <w:lang w:eastAsia="pt-BR"/>
        </w:rPr>
        <w:t> – Os Serviços Médicos e Odontológicos próprios da Universidade de São Paulo são compostos: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 – no campus USP da capital: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a) pelo Hospital Universitário (HU) e Unidade Básica de Assistência à Saúde (UBAS);</w:t>
      </w:r>
      <w:r w:rsidRPr="00ED5643">
        <w:rPr>
          <w:rFonts w:ascii="Arial" w:eastAsia="Times New Roman" w:hAnsi="Arial" w:cs="Arial"/>
          <w:color w:val="373737"/>
          <w:lang w:eastAsia="pt-BR"/>
        </w:rPr>
        <w:br/>
        <w:t>b) pela Clínica Odontológica da Superintendência de Assistência Social;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II – nos campi USP do interior: pelas Unidades Básicas de Assistência à Saúde (UBAS) da Superintendência de Saúde.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§ 1º – Caso as UBAS dos campi USP do interior forem insuficientes para atender à demanda da comunidade USP ou caso elas inexistam em determinada localidade onde funcione algum órgão da Universidade, a Coordenadoria de Administração Geral, a pedido da Superintendência de Saúde, poderá celebrar contratos de prestação de Serviços Médicos e Complementares, tendo como elegíveis os servidores previstos nos incisos I e II do artigo 2º e seus respectivos dependentes.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§ 2º – Se houver a contratação dos Serviços Médicos e Odontológicos, a que se refere o § 1º deste artigo, em localidades onde: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 – existam UBAS: a referida assistência será prestada tão somente no Município de lotação do servidor;</w:t>
      </w:r>
      <w:r w:rsidRPr="00ED5643">
        <w:rPr>
          <w:rFonts w:ascii="Arial" w:eastAsia="Times New Roman" w:hAnsi="Arial" w:cs="Arial"/>
          <w:color w:val="373737"/>
          <w:lang w:eastAsia="pt-BR"/>
        </w:rPr>
        <w:br/>
        <w:t>II – inexistam UBAS: a referida assistência continuará a ser prestada nos moldes da atualmente disponibilizada.</w:t>
      </w:r>
    </w:p>
    <w:p w:rsidR="00ED5643" w:rsidRP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  <w:t>Artigo 2º</w:t>
      </w:r>
      <w:r w:rsidRPr="00ED5643">
        <w:rPr>
          <w:rFonts w:ascii="Arial" w:eastAsia="Times New Roman" w:hAnsi="Arial" w:cs="Arial"/>
          <w:color w:val="373737"/>
          <w:lang w:eastAsia="pt-BR"/>
        </w:rPr>
        <w:t> – Terão direito à utilização dos Serviços Médicos e Odontológicos próprios da Universidade de São Paulo: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 – os servidores docentes: ativos e aposentados;</w:t>
      </w:r>
    </w:p>
    <w:p w:rsidR="00ED5643" w:rsidRPr="00ED5643" w:rsidRDefault="00ED5643" w:rsidP="00ED5643">
      <w:pPr>
        <w:shd w:val="clear" w:color="auto" w:fill="FFFFFF"/>
        <w:spacing w:after="390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II – os servidores técnicos e administrativos:</w:t>
      </w:r>
      <w:r w:rsidRPr="00ED5643">
        <w:rPr>
          <w:rFonts w:ascii="Arial" w:eastAsia="Times New Roman" w:hAnsi="Arial" w:cs="Arial"/>
          <w:color w:val="373737"/>
          <w:lang w:eastAsia="pt-BR"/>
        </w:rPr>
        <w:br/>
        <w:t>a) autárquicos: ativos e aposentados;</w:t>
      </w:r>
      <w:r w:rsidRPr="00ED5643">
        <w:rPr>
          <w:rFonts w:ascii="Arial" w:eastAsia="Times New Roman" w:hAnsi="Arial" w:cs="Arial"/>
          <w:color w:val="373737"/>
          <w:lang w:eastAsia="pt-BR"/>
        </w:rPr>
        <w:br/>
        <w:t>b) celetistas ativos;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III – os alunos regularmente matriculados em cursos de graduação e pós-graduação da USP (artigo 203, inciso I, do Regimento Geral da USP);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IV – os dependentes das categorias mencionadas nos incisos I, II e III.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lastRenderedPageBreak/>
        <w:t>§ 1º – Serão considerados dependentes, nos termos do inciso IV do caput deste artigo: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 – cônjuge ou companheiro do servidor e aluno;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II – filhos de servidor e aqueles que estejam sob guarda ou tutela judicial do servidor, menores de 21 (vinte e um) anos e solteiros;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III – filhos de servidor e aqueles que estejam sob guarda ou tutela judicial do servidor, de 21 (vinte e um) a 24 (vinte e quatro) anos, desde que solteiros, dependentes economicamente do servidor e estejam cursando estabelecimento de nível superior;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IV – filhos de servidor de qualquer idade, se inválidos, e enquanto durar a invalidez;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V – filhos de aluno, menores de 18 (dezoito) anos e solteiros.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§ 2º – Outras categorias de beneficiários e de dependentes, cadastradas nos Serviços Médicos e Odontológicos antes da publicação da presente Resolução, continuarão tendo acesso a esses Serviços, enquanto mantiverem os requisitos do cadastramento original.</w:t>
      </w:r>
    </w:p>
    <w:p w:rsidR="00ED5643" w:rsidRP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  <w:t>Artigo 3º</w:t>
      </w:r>
      <w:r w:rsidRPr="00ED5643">
        <w:rPr>
          <w:rFonts w:ascii="Arial" w:eastAsia="Times New Roman" w:hAnsi="Arial" w:cs="Arial"/>
          <w:color w:val="373737"/>
          <w:lang w:eastAsia="pt-BR"/>
        </w:rPr>
        <w:t> – Caberá à Superintendência de Saúde administrar o cadastro dos dependentes (§ 1º do artigo 2º).</w:t>
      </w:r>
    </w:p>
    <w:p w:rsid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</w:pPr>
    </w:p>
    <w:p w:rsid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  <w:t>Parágrafo único</w:t>
      </w:r>
      <w:r w:rsidRPr="00ED5643">
        <w:rPr>
          <w:rFonts w:ascii="Arial" w:eastAsia="Times New Roman" w:hAnsi="Arial" w:cs="Arial"/>
          <w:color w:val="373737"/>
          <w:lang w:eastAsia="pt-BR"/>
        </w:rPr>
        <w:t xml:space="preserve"> – O Superintendente de Saúde, mediante Portaria, determinará o procedimento </w:t>
      </w:r>
    </w:p>
    <w:p w:rsidR="00ED5643" w:rsidRP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proofErr w:type="gramStart"/>
      <w:r w:rsidRPr="00ED5643">
        <w:rPr>
          <w:rFonts w:ascii="Arial" w:eastAsia="Times New Roman" w:hAnsi="Arial" w:cs="Arial"/>
          <w:color w:val="373737"/>
          <w:lang w:eastAsia="pt-BR"/>
        </w:rPr>
        <w:t>para</w:t>
      </w:r>
      <w:proofErr w:type="gramEnd"/>
      <w:r w:rsidRPr="00ED5643">
        <w:rPr>
          <w:rFonts w:ascii="Arial" w:eastAsia="Times New Roman" w:hAnsi="Arial" w:cs="Arial"/>
          <w:color w:val="373737"/>
          <w:lang w:eastAsia="pt-BR"/>
        </w:rPr>
        <w:t xml:space="preserve"> o cadastramento dos dependentes, bem como os documentos comprobatórios necessários.</w:t>
      </w:r>
    </w:p>
    <w:p w:rsid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</w:pPr>
    </w:p>
    <w:p w:rsidR="00ED5643" w:rsidRPr="00ED5643" w:rsidRDefault="00ED5643" w:rsidP="00ED5643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eastAsia="pt-BR"/>
        </w:rPr>
        <w:t>Artigo 4º</w:t>
      </w:r>
      <w:r w:rsidRPr="00ED5643">
        <w:rPr>
          <w:rFonts w:ascii="Arial" w:eastAsia="Times New Roman" w:hAnsi="Arial" w:cs="Arial"/>
          <w:color w:val="373737"/>
          <w:lang w:eastAsia="pt-BR"/>
        </w:rPr>
        <w:t> – Esta Resolução entrará em vigor na data de sua publicação, revogadas as disposições em contrário. (Prot. 14.5.522.1.8)</w:t>
      </w:r>
    </w:p>
    <w:p w:rsidR="00ED5643" w:rsidRPr="00ED5643" w:rsidRDefault="00ED5643" w:rsidP="00ED5643">
      <w:pPr>
        <w:shd w:val="clear" w:color="auto" w:fill="FFFFFF"/>
        <w:spacing w:after="390"/>
        <w:jc w:val="both"/>
        <w:textAlignment w:val="baseline"/>
        <w:rPr>
          <w:rFonts w:ascii="Arial" w:eastAsia="Times New Roman" w:hAnsi="Arial" w:cs="Arial"/>
          <w:color w:val="373737"/>
          <w:lang w:eastAsia="pt-BR"/>
        </w:rPr>
      </w:pPr>
      <w:r w:rsidRPr="00ED5643">
        <w:rPr>
          <w:rFonts w:ascii="Arial" w:eastAsia="Times New Roman" w:hAnsi="Arial" w:cs="Arial"/>
          <w:color w:val="373737"/>
          <w:lang w:eastAsia="pt-BR"/>
        </w:rPr>
        <w:t>Reitoria da Universidade de São Paulo, 17 de março de 2015.</w:t>
      </w:r>
    </w:p>
    <w:p w:rsidR="00ED5643" w:rsidRDefault="00ED5643" w:rsidP="00ED5643">
      <w:pPr>
        <w:shd w:val="clear" w:color="auto" w:fill="FFFFFF"/>
        <w:spacing w:after="390"/>
        <w:jc w:val="center"/>
        <w:textAlignment w:val="baseline"/>
        <w:rPr>
          <w:rFonts w:ascii="Arial" w:eastAsia="Times New Roman" w:hAnsi="Arial" w:cs="Arial"/>
          <w:color w:val="373737"/>
          <w:lang w:eastAsia="pt-BR"/>
        </w:rPr>
      </w:pPr>
    </w:p>
    <w:p w:rsidR="00ED5643" w:rsidRPr="00ED5643" w:rsidRDefault="00ED5643" w:rsidP="00ED5643">
      <w:pPr>
        <w:shd w:val="clear" w:color="auto" w:fill="FFFFFF"/>
        <w:spacing w:after="390"/>
        <w:jc w:val="center"/>
        <w:textAlignment w:val="baseline"/>
        <w:rPr>
          <w:rFonts w:ascii="Arial" w:eastAsia="Times New Roman" w:hAnsi="Arial" w:cs="Arial"/>
          <w:b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color w:val="373737"/>
          <w:lang w:eastAsia="pt-BR"/>
        </w:rPr>
        <w:t>MARCO ANTONIO ZAGO</w:t>
      </w:r>
      <w:r w:rsidRPr="00ED5643">
        <w:rPr>
          <w:rFonts w:ascii="Arial" w:eastAsia="Times New Roman" w:hAnsi="Arial" w:cs="Arial"/>
          <w:b/>
          <w:color w:val="373737"/>
          <w:lang w:eastAsia="pt-BR"/>
        </w:rPr>
        <w:br/>
        <w:t>Reitor</w:t>
      </w:r>
    </w:p>
    <w:p w:rsidR="00ED5643" w:rsidRPr="00ED5643" w:rsidRDefault="00ED5643" w:rsidP="00ED5643">
      <w:pPr>
        <w:shd w:val="clear" w:color="auto" w:fill="FFFFFF"/>
        <w:spacing w:after="390"/>
        <w:jc w:val="center"/>
        <w:textAlignment w:val="baseline"/>
        <w:rPr>
          <w:rFonts w:ascii="Arial" w:eastAsia="Times New Roman" w:hAnsi="Arial" w:cs="Arial"/>
          <w:b/>
          <w:color w:val="373737"/>
          <w:lang w:eastAsia="pt-BR"/>
        </w:rPr>
      </w:pPr>
      <w:r w:rsidRPr="00ED5643">
        <w:rPr>
          <w:rFonts w:ascii="Arial" w:eastAsia="Times New Roman" w:hAnsi="Arial" w:cs="Arial"/>
          <w:b/>
          <w:color w:val="373737"/>
          <w:lang w:eastAsia="pt-BR"/>
        </w:rPr>
        <w:t>IGNACIO MARIA POVEDA VELASCO</w:t>
      </w:r>
      <w:r w:rsidRPr="00ED5643">
        <w:rPr>
          <w:rFonts w:ascii="Arial" w:eastAsia="Times New Roman" w:hAnsi="Arial" w:cs="Arial"/>
          <w:b/>
          <w:color w:val="373737"/>
          <w:lang w:eastAsia="pt-BR"/>
        </w:rPr>
        <w:br/>
        <w:t>Secretário Geral</w:t>
      </w:r>
    </w:p>
    <w:p w:rsidR="00A33A4D" w:rsidRDefault="00A33A4D"/>
    <w:sectPr w:rsidR="00A33A4D" w:rsidSect="00ED564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43"/>
    <w:rsid w:val="00997A82"/>
    <w:rsid w:val="00A33A4D"/>
    <w:rsid w:val="00ED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E76D5-272C-4C41-A4EC-F33AE01A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D56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564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56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D5643"/>
  </w:style>
  <w:style w:type="character" w:styleId="Hyperlink">
    <w:name w:val="Hyperlink"/>
    <w:basedOn w:val="Fontepargpadro"/>
    <w:uiPriority w:val="99"/>
    <w:semiHidden/>
    <w:unhideWhenUsed/>
    <w:rsid w:val="00ED5643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D5643"/>
    <w:rPr>
      <w:i/>
      <w:iCs/>
    </w:rPr>
  </w:style>
  <w:style w:type="character" w:styleId="Forte">
    <w:name w:val="Strong"/>
    <w:basedOn w:val="Fontepargpadro"/>
    <w:uiPriority w:val="22"/>
    <w:qFormat/>
    <w:rsid w:val="00ED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nf.usp.br/?resolucao=resolucao-no-6789-de-15-de-abril-de-2014" TargetMode="External"/><Relationship Id="rId5" Type="http://schemas.openxmlformats.org/officeDocument/2006/relationships/hyperlink" Target="http://www.leginf.usp.br/?resolucao=resolucao-no-6545-de-23-abril-de-2013" TargetMode="External"/><Relationship Id="rId4" Type="http://schemas.openxmlformats.org/officeDocument/2006/relationships/hyperlink" Target="http://www.leginf.usp.br/?resolucao=consolidada-resolucao-no-3461-de-7-de-outubro-de-1988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FMUSP</dc:creator>
  <cp:lastModifiedBy>usuário</cp:lastModifiedBy>
  <cp:revision>2</cp:revision>
  <dcterms:created xsi:type="dcterms:W3CDTF">2015-04-09T14:34:00Z</dcterms:created>
  <dcterms:modified xsi:type="dcterms:W3CDTF">2015-04-09T14:34:00Z</dcterms:modified>
</cp:coreProperties>
</file>